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52" w:rsidRPr="00012865" w:rsidRDefault="00127552" w:rsidP="00765174">
      <w:pPr>
        <w:jc w:val="both"/>
      </w:pPr>
      <w:r w:rsidRPr="00012865">
        <w:tab/>
        <w:t xml:space="preserve">Na potrzeby niniejszego materiału przygotowano </w:t>
      </w:r>
      <w:r w:rsidR="00EF4196" w:rsidRPr="00012865">
        <w:t xml:space="preserve">podstawowe </w:t>
      </w:r>
      <w:r w:rsidRPr="00012865">
        <w:t>definicje prezentowanych zjawisk, ze wskazaniem okresu ich obowiązywania</w:t>
      </w:r>
      <w:r w:rsidR="00EF4196" w:rsidRPr="00012865">
        <w:t xml:space="preserve"> oraz uwagi, które mają zasadnicze znaczenie przy omawianiu (analizie) danych</w:t>
      </w:r>
      <w:r w:rsidRPr="00012865">
        <w:t>.</w:t>
      </w:r>
      <w:r w:rsidR="00765174" w:rsidRPr="00012865">
        <w:t xml:space="preserve"> Wydział Obsługi Informacyjnej Biura Wywiadu i Informacji  Kryminalnych Komendy Głównej Policji zaleca zapoznanie się </w:t>
      </w:r>
      <w:r w:rsidR="00E05ADA" w:rsidRPr="00012865">
        <w:br/>
      </w:r>
      <w:r w:rsidR="00765174" w:rsidRPr="00012865">
        <w:t xml:space="preserve">z poniższym materiałem przed </w:t>
      </w:r>
      <w:r w:rsidR="004428B0" w:rsidRPr="00012865">
        <w:t>wykorzystaniem</w:t>
      </w:r>
      <w:r w:rsidR="00765174" w:rsidRPr="00012865">
        <w:t xml:space="preserve"> danych.</w:t>
      </w:r>
    </w:p>
    <w:p w:rsidR="00EF4196" w:rsidRPr="00012865" w:rsidRDefault="004428B0" w:rsidP="00765174">
      <w:pPr>
        <w:jc w:val="both"/>
      </w:pPr>
      <w:r w:rsidRPr="00012865">
        <w:tab/>
      </w:r>
      <w:r w:rsidR="00EF4196" w:rsidRPr="00012865">
        <w:rPr>
          <w:rFonts w:ascii="Calibri" w:eastAsia="Calibri" w:hAnsi="Calibri" w:cs="Times New Roman"/>
        </w:rPr>
        <w:t xml:space="preserve">Z dniem 31 stycznia 2013 roku mocą zarządzenia nr 5 Komendanta Głównego Policji </w:t>
      </w:r>
      <w:r w:rsidR="00EF4196" w:rsidRPr="00012865">
        <w:rPr>
          <w:rFonts w:ascii="Calibri" w:eastAsia="Calibri" w:hAnsi="Calibri" w:cs="Times New Roman"/>
        </w:rPr>
        <w:br/>
        <w:t xml:space="preserve">z dnia 31 stycznia 2013 roku uchylone zostało zarządzenie nr 350 Komendanta Głównego Policji z dnia 1 lipca 2003 roku </w:t>
      </w:r>
      <w:r w:rsidR="00EF4196" w:rsidRPr="00012865">
        <w:rPr>
          <w:rFonts w:ascii="Calibri" w:eastAsia="Calibri" w:hAnsi="Calibri" w:cs="Times New Roman"/>
          <w:i/>
        </w:rPr>
        <w:t xml:space="preserve">w sprawie zbierania, gromadzenia, przetwarzania </w:t>
      </w:r>
      <w:r w:rsidR="00EF4196" w:rsidRPr="00012865">
        <w:rPr>
          <w:rFonts w:ascii="Calibri" w:eastAsia="Calibri" w:hAnsi="Calibri" w:cs="Times New Roman"/>
          <w:i/>
        </w:rPr>
        <w:br/>
        <w:t xml:space="preserve">i opracowywania danych statystycznych o przestępczości oraz zamachach samobójczych </w:t>
      </w:r>
      <w:r w:rsidR="00EF4196" w:rsidRPr="00012865">
        <w:rPr>
          <w:rFonts w:ascii="Calibri" w:eastAsia="Calibri" w:hAnsi="Calibri" w:cs="Times New Roman"/>
          <w:i/>
        </w:rPr>
        <w:br/>
        <w:t>i wypadkach tonięcia</w:t>
      </w:r>
      <w:r w:rsidR="00EF4196" w:rsidRPr="00012865">
        <w:rPr>
          <w:rFonts w:ascii="Calibri" w:eastAsia="Calibri" w:hAnsi="Calibri" w:cs="Times New Roman"/>
        </w:rPr>
        <w:t xml:space="preserve"> (Dz. Urz. KGP z 2003 r. Nr 14, poz. 74 z </w:t>
      </w:r>
      <w:proofErr w:type="spellStart"/>
      <w:r w:rsidR="00EF4196" w:rsidRPr="00012865">
        <w:rPr>
          <w:rFonts w:ascii="Calibri" w:eastAsia="Calibri" w:hAnsi="Calibri" w:cs="Times New Roman"/>
        </w:rPr>
        <w:t>późn</w:t>
      </w:r>
      <w:proofErr w:type="spellEnd"/>
      <w:r w:rsidR="00EF4196" w:rsidRPr="00012865">
        <w:rPr>
          <w:rFonts w:ascii="Calibri" w:eastAsia="Calibri" w:hAnsi="Calibri" w:cs="Times New Roman"/>
        </w:rPr>
        <w:t xml:space="preserve">. zm.). W związku </w:t>
      </w:r>
      <w:r w:rsidR="00EF4196" w:rsidRPr="00012865">
        <w:rPr>
          <w:rFonts w:ascii="Calibri" w:eastAsia="Calibri" w:hAnsi="Calibri" w:cs="Times New Roman"/>
        </w:rPr>
        <w:br/>
        <w:t>z uchyleniem ww. zarządzenia i tym samym wyłączenia z dalszego użytkowania Policyjnego Systemu Statystyki Przestępczości „</w:t>
      </w:r>
      <w:r w:rsidR="00EF4196" w:rsidRPr="00012865">
        <w:rPr>
          <w:rFonts w:ascii="Calibri" w:eastAsia="Calibri" w:hAnsi="Calibri" w:cs="Times New Roman"/>
          <w:i/>
        </w:rPr>
        <w:t>Temida</w:t>
      </w:r>
      <w:r w:rsidR="00EF4196" w:rsidRPr="00012865">
        <w:rPr>
          <w:rFonts w:ascii="Calibri" w:eastAsia="Calibri" w:hAnsi="Calibri" w:cs="Times New Roman"/>
        </w:rPr>
        <w:t xml:space="preserve">” (PSSP TEMIDA) od 1 stycznia 2013 roku wszelkie zadania, związane z problematyką regulowaną w uchylonym zarządzeniu, realizowane są przy wykorzystaniu Systemu Analitycznego w oparciu o informacje przetwarzane </w:t>
      </w:r>
      <w:r w:rsidR="00546312" w:rsidRPr="00012865">
        <w:rPr>
          <w:rFonts w:ascii="Calibri" w:eastAsia="Calibri" w:hAnsi="Calibri" w:cs="Times New Roman"/>
        </w:rPr>
        <w:br/>
      </w:r>
      <w:r w:rsidR="00EF4196" w:rsidRPr="00012865">
        <w:rPr>
          <w:rFonts w:ascii="Calibri" w:eastAsia="Calibri" w:hAnsi="Calibri" w:cs="Times New Roman"/>
        </w:rPr>
        <w:t xml:space="preserve">w Krajowym Systemie Informacyjnym Policji (KSIP). Zgodnie z zarządzeniem nr 5 Komendanta Głównego Policji, dane archiwalne (do 31 grudnia 2012 r.) są przetwarzane </w:t>
      </w:r>
      <w:r w:rsidR="00546312" w:rsidRPr="00012865">
        <w:rPr>
          <w:rFonts w:ascii="Calibri" w:eastAsia="Calibri" w:hAnsi="Calibri" w:cs="Times New Roman"/>
        </w:rPr>
        <w:br/>
      </w:r>
      <w:r w:rsidR="00EF4196" w:rsidRPr="00012865">
        <w:rPr>
          <w:rFonts w:ascii="Calibri" w:eastAsia="Calibri" w:hAnsi="Calibri" w:cs="Times New Roman"/>
        </w:rPr>
        <w:t>w systemie Temida.</w:t>
      </w:r>
    </w:p>
    <w:p w:rsidR="00EF4196" w:rsidRPr="00012865" w:rsidRDefault="00EF4196" w:rsidP="00EF4196">
      <w:pPr>
        <w:ind w:firstLine="708"/>
        <w:jc w:val="both"/>
      </w:pPr>
      <w:r w:rsidRPr="00012865">
        <w:rPr>
          <w:rFonts w:ascii="Calibri" w:eastAsia="Calibri" w:hAnsi="Calibri" w:cs="Times New Roman"/>
        </w:rPr>
        <w:t xml:space="preserve">Uwzględniając art. 13 ust. 3 i art. 18 ustawy z dnia 29 czerwca 1995r. </w:t>
      </w:r>
      <w:r w:rsidRPr="00012865">
        <w:rPr>
          <w:rFonts w:ascii="Calibri" w:eastAsia="Calibri" w:hAnsi="Calibri" w:cs="Times New Roman"/>
          <w:i/>
        </w:rPr>
        <w:t>o statystyce publicznej</w:t>
      </w:r>
      <w:r w:rsidRPr="00012865">
        <w:rPr>
          <w:rFonts w:ascii="Calibri" w:eastAsia="Calibri" w:hAnsi="Calibri" w:cs="Times New Roman"/>
        </w:rPr>
        <w:t xml:space="preserve"> jak również przepisy rozporządzenia</w:t>
      </w:r>
      <w:r w:rsidRPr="00012865">
        <w:rPr>
          <w:rStyle w:val="st"/>
          <w:rFonts w:ascii="Calibri" w:eastAsia="Calibri" w:hAnsi="Calibri" w:cs="Times New Roman"/>
        </w:rPr>
        <w:t xml:space="preserve"> Rady Ministrów z dnia 9 listopada 2012 r. </w:t>
      </w:r>
      <w:r w:rsidRPr="00012865">
        <w:rPr>
          <w:rStyle w:val="st"/>
          <w:rFonts w:ascii="Calibri" w:eastAsia="Calibri" w:hAnsi="Calibri" w:cs="Times New Roman"/>
        </w:rPr>
        <w:br/>
      </w:r>
      <w:r w:rsidRPr="00012865">
        <w:rPr>
          <w:rStyle w:val="st"/>
          <w:rFonts w:ascii="Calibri" w:eastAsia="Calibri" w:hAnsi="Calibri" w:cs="Times New Roman"/>
          <w:i/>
        </w:rPr>
        <w:t>w sprawie programu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 xml:space="preserve">badań </w:t>
      </w:r>
      <w:r w:rsidRPr="00012865">
        <w:rPr>
          <w:rStyle w:val="Uwydatnienie"/>
          <w:rFonts w:ascii="Calibri" w:eastAsia="Calibri" w:hAnsi="Calibri" w:cs="Times New Roman"/>
        </w:rPr>
        <w:t>statystycznych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>statystyki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Uwydatnienie"/>
          <w:rFonts w:ascii="Calibri" w:eastAsia="Calibri" w:hAnsi="Calibri" w:cs="Times New Roman"/>
        </w:rPr>
        <w:t>publicznej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 xml:space="preserve">na rok 2013 </w:t>
      </w:r>
      <w:r w:rsidRPr="00012865">
        <w:rPr>
          <w:rStyle w:val="st"/>
          <w:rFonts w:ascii="Calibri" w:eastAsia="Calibri" w:hAnsi="Calibri" w:cs="Times New Roman"/>
        </w:rPr>
        <w:t>i</w:t>
      </w:r>
      <w:r w:rsidRPr="00012865">
        <w:rPr>
          <w:rStyle w:val="st"/>
          <w:rFonts w:ascii="Calibri" w:eastAsia="Calibri" w:hAnsi="Calibri" w:cs="Times New Roman"/>
          <w:i/>
        </w:rPr>
        <w:t xml:space="preserve"> </w:t>
      </w:r>
      <w:r w:rsidRPr="00012865">
        <w:rPr>
          <w:rFonts w:ascii="Calibri" w:eastAsia="Calibri" w:hAnsi="Calibri" w:cs="Times New Roman"/>
        </w:rPr>
        <w:t>rozporządzenia</w:t>
      </w:r>
      <w:r w:rsidRPr="00012865">
        <w:rPr>
          <w:rStyle w:val="st"/>
          <w:rFonts w:ascii="Calibri" w:eastAsia="Calibri" w:hAnsi="Calibri" w:cs="Times New Roman"/>
        </w:rPr>
        <w:t xml:space="preserve"> Rady Ministrów z dnia 24 czerwca 2013r. </w:t>
      </w:r>
      <w:r w:rsidRPr="00012865">
        <w:rPr>
          <w:rStyle w:val="st"/>
          <w:rFonts w:ascii="Calibri" w:eastAsia="Calibri" w:hAnsi="Calibri" w:cs="Times New Roman"/>
          <w:i/>
        </w:rPr>
        <w:t>zmieniającego rozporządzenie w sprawie programu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 xml:space="preserve">badań </w:t>
      </w:r>
      <w:r w:rsidRPr="00012865">
        <w:rPr>
          <w:rStyle w:val="Uwydatnienie"/>
          <w:rFonts w:ascii="Calibri" w:eastAsia="Calibri" w:hAnsi="Calibri" w:cs="Times New Roman"/>
        </w:rPr>
        <w:t>statystycznych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>statystyki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Uwydatnienie"/>
          <w:rFonts w:ascii="Calibri" w:eastAsia="Calibri" w:hAnsi="Calibri" w:cs="Times New Roman"/>
        </w:rPr>
        <w:t>publicznej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>na rok 2013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Fonts w:ascii="Calibri" w:eastAsia="Calibri" w:hAnsi="Calibri" w:cs="Times New Roman"/>
        </w:rPr>
        <w:t xml:space="preserve">nakładające na Policję obowiązki </w:t>
      </w:r>
      <w:r w:rsidRPr="00012865">
        <w:rPr>
          <w:rFonts w:ascii="Calibri" w:eastAsia="Calibri" w:hAnsi="Calibri" w:cs="Times New Roman"/>
        </w:rPr>
        <w:br/>
        <w:t xml:space="preserve">w zakresie gromadzenia danych statystycznych w Systemie Analitycznym wyodrębniono między innymi obszar danych statystycznych o przestępczości </w:t>
      </w:r>
      <w:r w:rsidRPr="00012865">
        <w:t xml:space="preserve">(przestępstwa stwierdzone, przestępstwa wykryte i wskaźnik wykrycia) </w:t>
      </w:r>
      <w:r w:rsidRPr="00012865">
        <w:rPr>
          <w:rFonts w:ascii="Calibri" w:eastAsia="Calibri" w:hAnsi="Calibri" w:cs="Times New Roman"/>
        </w:rPr>
        <w:t>według podziału administracyjnego Polski</w:t>
      </w:r>
      <w:r w:rsidRPr="00012865">
        <w:t>.</w:t>
      </w:r>
    </w:p>
    <w:p w:rsidR="00EF4196" w:rsidRPr="00012865" w:rsidRDefault="00EF4196" w:rsidP="00EF4196">
      <w:pPr>
        <w:ind w:firstLine="708"/>
        <w:jc w:val="both"/>
        <w:rPr>
          <w:rFonts w:ascii="Calibri" w:eastAsia="Calibri" w:hAnsi="Calibri" w:cs="Times New Roman"/>
        </w:rPr>
      </w:pPr>
      <w:r w:rsidRPr="00012865">
        <w:rPr>
          <w:rFonts w:ascii="Calibri" w:eastAsia="Calibri" w:hAnsi="Calibri" w:cs="Times New Roman"/>
        </w:rPr>
        <w:t>Od 1 stycznia 2014 roku zgodnie z Rozporządzenia</w:t>
      </w:r>
      <w:r w:rsidRPr="00012865">
        <w:rPr>
          <w:rStyle w:val="st"/>
          <w:rFonts w:ascii="Calibri" w:eastAsia="Calibri" w:hAnsi="Calibri" w:cs="Times New Roman"/>
        </w:rPr>
        <w:t xml:space="preserve"> Rady Ministrów z dnia 9 sierpnia 2013 r. </w:t>
      </w:r>
      <w:r w:rsidRPr="00012865">
        <w:rPr>
          <w:rStyle w:val="st"/>
          <w:rFonts w:ascii="Calibri" w:eastAsia="Calibri" w:hAnsi="Calibri" w:cs="Times New Roman"/>
          <w:i/>
        </w:rPr>
        <w:t>w sprawie programu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 xml:space="preserve">badań </w:t>
      </w:r>
      <w:r w:rsidRPr="00012865">
        <w:rPr>
          <w:rStyle w:val="Uwydatnienie"/>
          <w:rFonts w:ascii="Calibri" w:eastAsia="Calibri" w:hAnsi="Calibri" w:cs="Times New Roman"/>
        </w:rPr>
        <w:t>statystycznych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>statystyki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Uwydatnienie"/>
          <w:rFonts w:ascii="Calibri" w:eastAsia="Calibri" w:hAnsi="Calibri" w:cs="Times New Roman"/>
        </w:rPr>
        <w:t>publicznej</w:t>
      </w:r>
      <w:r w:rsidRPr="00012865">
        <w:rPr>
          <w:rStyle w:val="st"/>
          <w:rFonts w:ascii="Calibri" w:eastAsia="Calibri" w:hAnsi="Calibri" w:cs="Times New Roman"/>
        </w:rPr>
        <w:t xml:space="preserve"> </w:t>
      </w:r>
      <w:r w:rsidRPr="00012865">
        <w:rPr>
          <w:rStyle w:val="st"/>
          <w:rFonts w:ascii="Calibri" w:eastAsia="Calibri" w:hAnsi="Calibri" w:cs="Times New Roman"/>
          <w:i/>
        </w:rPr>
        <w:t xml:space="preserve">na rok 2014 </w:t>
      </w:r>
      <w:r w:rsidRPr="00012865">
        <w:rPr>
          <w:rStyle w:val="st"/>
          <w:rFonts w:ascii="Calibri" w:eastAsia="Calibri" w:hAnsi="Calibri" w:cs="Times New Roman"/>
          <w:i/>
        </w:rPr>
        <w:br/>
      </w:r>
      <w:r w:rsidRPr="00012865">
        <w:rPr>
          <w:rStyle w:val="st"/>
          <w:rFonts w:ascii="Calibri" w:eastAsia="Calibri" w:hAnsi="Calibri" w:cs="Times New Roman"/>
        </w:rPr>
        <w:t xml:space="preserve">(Dz. U. 2013 r. poz. 1159) Ministerstwo Sprawiedliwości zobowiązane </w:t>
      </w:r>
      <w:r w:rsidRPr="00012865">
        <w:rPr>
          <w:rStyle w:val="st"/>
          <w:rFonts w:ascii="Calibri" w:eastAsia="Calibri" w:hAnsi="Calibri" w:cs="Times New Roman"/>
        </w:rPr>
        <w:br/>
        <w:t xml:space="preserve">jest do gromadzenia i przekazywania do Głównego Urzędu Statystycznego danych </w:t>
      </w:r>
      <w:r w:rsidRPr="00012865">
        <w:rPr>
          <w:rStyle w:val="st"/>
          <w:rFonts w:ascii="Calibri" w:eastAsia="Calibri" w:hAnsi="Calibri" w:cs="Times New Roman"/>
        </w:rPr>
        <w:br/>
        <w:t xml:space="preserve">o osobach nieletnich i ich czynach karalnych. W związku z czym zmienił się obszar danych przekazywanych przez Policję do GUS i są to dane uzyskiwane tylko i wyłącznie na podstawie </w:t>
      </w:r>
      <w:r w:rsidRPr="00012865">
        <w:rPr>
          <w:rFonts w:ascii="Calibri" w:eastAsia="Calibri" w:hAnsi="Calibri" w:cs="Times New Roman"/>
        </w:rPr>
        <w:t>postępowań przygotowawczych prowadzonych przez Policję.</w:t>
      </w:r>
    </w:p>
    <w:p w:rsidR="0018467A" w:rsidRPr="00012865" w:rsidRDefault="0018467A" w:rsidP="00EF4196">
      <w:pPr>
        <w:ind w:firstLine="708"/>
        <w:jc w:val="both"/>
      </w:pPr>
      <w:r w:rsidRPr="00012865">
        <w:t xml:space="preserve">Jednocześnie na wyraźne życzenie Ministerstwa Spraw Wewnętrznych i Administracji </w:t>
      </w:r>
      <w:r w:rsidR="00735844" w:rsidRPr="00012865">
        <w:t>na potrzeby</w:t>
      </w:r>
      <w:r w:rsidRPr="00012865">
        <w:t xml:space="preserve"> </w:t>
      </w:r>
      <w:r w:rsidRPr="00012865">
        <w:rPr>
          <w:i/>
        </w:rPr>
        <w:t xml:space="preserve">Raportu o stanie bezpieczeństwa </w:t>
      </w:r>
      <w:r w:rsidR="00735844" w:rsidRPr="00012865">
        <w:rPr>
          <w:i/>
        </w:rPr>
        <w:t>w Polsce</w:t>
      </w:r>
      <w:r w:rsidR="00735844" w:rsidRPr="00012865">
        <w:t xml:space="preserve"> dane dotyczące liczby przestępstw stwierdzonych, przestępstw wykrytych i wskaźnika wykrycia przekazywane były z informacją        o czynach karalnych nieletnich w ramach wszczętych postępowań przygotowawczych </w:t>
      </w:r>
      <w:r w:rsidR="00A24C12" w:rsidRPr="00012865">
        <w:t xml:space="preserve">prowadzonych </w:t>
      </w:r>
      <w:r w:rsidR="00735844" w:rsidRPr="00012865">
        <w:t>wyłącznie przez jednostki organizacyjne Policji, gdzie w trakcie trwania postępowania ustalono, że sprawcą czynu karalnego była osoba nieletnia.</w:t>
      </w:r>
    </w:p>
    <w:p w:rsidR="008767BD" w:rsidRPr="00012865" w:rsidRDefault="008767BD" w:rsidP="00EF4196">
      <w:pPr>
        <w:ind w:firstLine="708"/>
        <w:jc w:val="both"/>
        <w:rPr>
          <w:rFonts w:ascii="Times New Roman" w:hAnsi="Times New Roman"/>
        </w:rPr>
      </w:pPr>
    </w:p>
    <w:p w:rsidR="002B26AB" w:rsidRDefault="002B26AB">
      <w:pPr>
        <w:rPr>
          <w:b/>
        </w:rPr>
      </w:pPr>
    </w:p>
    <w:p w:rsidR="00127552" w:rsidRPr="00012865" w:rsidRDefault="00127552">
      <w:pPr>
        <w:rPr>
          <w:b/>
        </w:rPr>
      </w:pPr>
      <w:r w:rsidRPr="00012865">
        <w:rPr>
          <w:b/>
        </w:rPr>
        <w:lastRenderedPageBreak/>
        <w:t>Postępowanie wszczęte</w:t>
      </w:r>
    </w:p>
    <w:p w:rsidR="00127552" w:rsidRPr="00012865" w:rsidRDefault="00127552" w:rsidP="00127552">
      <w:pPr>
        <w:ind w:firstLine="708"/>
        <w:jc w:val="both"/>
      </w:pPr>
      <w:r w:rsidRPr="00012865">
        <w:t xml:space="preserve">Wszczęte postępowanie przygotowawcze jest to postępowanie wszczęte przez jednostkę organizacyjną Policji w związku ze zdarzeniem, co do którego zachodzi podejrzenie, że jest przestępstwem, albo wszczęte przez prokuraturę i przekazane Policji do dalszego bezpośredniego prowadzenia. Do postępowań wszczętych doliczane są również dochodzenia wszczęte faktycznie, </w:t>
      </w:r>
      <w:r w:rsidR="00546312" w:rsidRPr="00012865">
        <w:br/>
      </w:r>
      <w:r w:rsidRPr="00012865">
        <w:t xml:space="preserve">a następnie zakończone wydaniem postanowienia o umorzeniu i wpisaniu sprawy do rejestru przestępstw. Nie wlicza się postępowań wyłączonych względem czynu </w:t>
      </w:r>
      <w:r w:rsidR="00986959" w:rsidRPr="00012865">
        <w:t>i współsprawcy</w:t>
      </w:r>
      <w:r w:rsidRPr="00012865">
        <w:t>.</w:t>
      </w:r>
    </w:p>
    <w:p w:rsidR="00986959" w:rsidRPr="00012865" w:rsidRDefault="00986959" w:rsidP="00127552">
      <w:pPr>
        <w:ind w:firstLine="708"/>
        <w:jc w:val="both"/>
      </w:pPr>
      <w:r w:rsidRPr="00012865">
        <w:t>Od 2013 r. Policja nie prezentuje informacji o postępowaniach wszczętych przez prokuratora i prowadzonych przez niego we własnym zakresie lub przekazanych do prowadzenia służbom innym niż Policja.</w:t>
      </w:r>
    </w:p>
    <w:p w:rsidR="008767BD" w:rsidRPr="00012865" w:rsidRDefault="00127552" w:rsidP="002B26AB">
      <w:pPr>
        <w:ind w:firstLine="708"/>
        <w:jc w:val="both"/>
      </w:pPr>
      <w:r w:rsidRPr="00012865">
        <w:t xml:space="preserve">Informacje o postępowaniu wszczętym </w:t>
      </w:r>
      <w:r w:rsidR="000008F9" w:rsidRPr="00012865">
        <w:t>prezentowane</w:t>
      </w:r>
      <w:r w:rsidRPr="00012865">
        <w:t xml:space="preserve"> (omawiane) </w:t>
      </w:r>
      <w:r w:rsidR="000008F9" w:rsidRPr="00012865">
        <w:t xml:space="preserve">są </w:t>
      </w:r>
      <w:r w:rsidRPr="00012865">
        <w:t>w kontekście jednostek uprawnionych do jego prowadzenia (w Policji – jednostek organizacyjnych)</w:t>
      </w:r>
      <w:r w:rsidR="007645E0" w:rsidRPr="00012865">
        <w:t>,</w:t>
      </w:r>
      <w:r w:rsidR="000008F9" w:rsidRPr="00012865">
        <w:t xml:space="preserve"> a nie jednostek podziału administracyjnego  kraju</w:t>
      </w:r>
      <w:r w:rsidR="007645E0" w:rsidRPr="00012865">
        <w:t xml:space="preserve"> (!)</w:t>
      </w:r>
    </w:p>
    <w:p w:rsidR="000008F9" w:rsidRPr="00012865" w:rsidRDefault="000008F9" w:rsidP="000008F9">
      <w:pPr>
        <w:rPr>
          <w:b/>
        </w:rPr>
      </w:pPr>
      <w:r w:rsidRPr="00012865">
        <w:rPr>
          <w:b/>
        </w:rPr>
        <w:t>Przestępstwo stwierdzone</w:t>
      </w:r>
    </w:p>
    <w:p w:rsidR="000008F9" w:rsidRPr="00012865" w:rsidRDefault="000008F9" w:rsidP="00B10424">
      <w:pPr>
        <w:ind w:firstLine="708"/>
        <w:jc w:val="both"/>
      </w:pPr>
      <w:r w:rsidRPr="00012865">
        <w:t xml:space="preserve">Przestępstwo stwierdzone to przestępstwo będące zbrodnią lub występkiem ściganym </w:t>
      </w:r>
      <w:r w:rsidR="00B10424" w:rsidRPr="00012865">
        <w:br/>
      </w:r>
      <w:r w:rsidRPr="00012865">
        <w:t>z oskarżenia publicznego, w tym także przestępstwem skarbowym, objęte postępowaniem przygotowawczym zakończonym</w:t>
      </w:r>
      <w:r w:rsidR="00005588" w:rsidRPr="00012865">
        <w:t xml:space="preserve"> w wyniku</w:t>
      </w:r>
      <w:r w:rsidR="008C0E3C" w:rsidRPr="00012865">
        <w:t>,</w:t>
      </w:r>
      <w:r w:rsidR="00005588" w:rsidRPr="00012865">
        <w:t xml:space="preserve"> którego potwierdzono zaistnienie czynu zabronionego.</w:t>
      </w:r>
    </w:p>
    <w:p w:rsidR="00012865" w:rsidRPr="00012865" w:rsidRDefault="00C331D1" w:rsidP="000008F9">
      <w:pPr>
        <w:jc w:val="both"/>
      </w:pPr>
      <w:r w:rsidRPr="00012865">
        <w:tab/>
        <w:t>Ze względu na zmianę sposobu gromadzenia danych w 2013 r. d</w:t>
      </w:r>
      <w:r w:rsidR="000008F9" w:rsidRPr="00012865">
        <w:t>o przestępstw stwierdzonych zaliczony jest również czyn karalny</w:t>
      </w:r>
      <w:r w:rsidR="00D204D1" w:rsidRPr="00012865">
        <w:t xml:space="preserve"> nieletniego</w:t>
      </w:r>
      <w:r w:rsidR="000008F9" w:rsidRPr="00012865">
        <w:t>, co do którego sąd rodzinny wydał w postępowaniu w sprawie nieletniego decyzję o zakończeniu postępowania stwierdzając popełnienie przez nieletniego czynu karalnego będącego przestępstwem ściganym z oskarżenia publicznego.</w:t>
      </w:r>
      <w:r w:rsidR="00012865" w:rsidRPr="00012865">
        <w:t xml:space="preserve"> </w:t>
      </w:r>
      <w:r w:rsidR="00A400E9">
        <w:t xml:space="preserve"> </w:t>
      </w:r>
      <w:r w:rsidR="00012865" w:rsidRPr="00012865">
        <w:t>Natomiast w  latach 1999-2012 czyn zabroniony nieletniego i nieletni, który się go dopuścił rejestrowany był w chwili zakończenia postępowania przygotowawczego i przekazania materiałów do sądu rodzinnego bez względu rozstrzygnięcie w sprawie. W 2013 r. czyn karalny i osoba nieletnia były ewentualnie rejestrowane dopiero po uzyskaniu informacji zwrotnej z sądu o sposobie rozstrzygnięcia.</w:t>
      </w:r>
    </w:p>
    <w:p w:rsidR="008767BD" w:rsidRPr="00012865" w:rsidRDefault="00D534D6" w:rsidP="000008F9">
      <w:pPr>
        <w:jc w:val="both"/>
      </w:pPr>
      <w:r w:rsidRPr="00012865">
        <w:tab/>
        <w:t>Od 2014 r. Policja nie prezentuje informacji o czynach karalnych nieletnich.</w:t>
      </w:r>
    </w:p>
    <w:p w:rsidR="00765174" w:rsidRPr="00012865" w:rsidRDefault="00765174" w:rsidP="00765174">
      <w:pPr>
        <w:rPr>
          <w:b/>
        </w:rPr>
      </w:pPr>
      <w:r w:rsidRPr="00012865">
        <w:rPr>
          <w:b/>
        </w:rPr>
        <w:t>Przestępstwo wykryte</w:t>
      </w:r>
    </w:p>
    <w:p w:rsidR="00526BA8" w:rsidRDefault="00765174" w:rsidP="00B10424">
      <w:pPr>
        <w:ind w:firstLine="708"/>
        <w:jc w:val="both"/>
      </w:pPr>
      <w:r w:rsidRPr="00012865">
        <w:t>Przestępstwo wykryte jest to przestępstwo stwierdzone, w którym ustalono przynajmniej jednego podejrzanego w zakończonym postępowaniu przygotowawczym lub ustalono nieletniego, który według decyzji sądu rodzinnego popełnił czyn karalny</w:t>
      </w:r>
      <w:r w:rsidR="002901B3">
        <w:t xml:space="preserve"> w 2013 r. </w:t>
      </w:r>
      <w:r w:rsidR="00F0098D">
        <w:t xml:space="preserve">Wykryte czyny karalne nieletniego w latach 1999-2012 prezentowano </w:t>
      </w:r>
      <w:r w:rsidR="00526BA8" w:rsidRPr="00012865">
        <w:t>w chwili zakończenia postępowania przygotowawczego i przekazania materiałów do sądu rodzinnego bez względu rozstrzygnięcie w sprawie.</w:t>
      </w:r>
      <w:r w:rsidR="00F0098D" w:rsidRPr="00012865">
        <w:t xml:space="preserve"> </w:t>
      </w:r>
    </w:p>
    <w:p w:rsidR="00765174" w:rsidRPr="00012865" w:rsidRDefault="00765174" w:rsidP="00B10424">
      <w:pPr>
        <w:ind w:firstLine="708"/>
        <w:jc w:val="both"/>
      </w:pPr>
      <w:r w:rsidRPr="00012865">
        <w:t>Przestępstwo popełnione wspólnie i w porozumieniu dorosłego z nieletnim wykazywane jest tylko raz.</w:t>
      </w:r>
    </w:p>
    <w:p w:rsidR="00E05ADA" w:rsidRPr="00012865" w:rsidRDefault="00E05ADA" w:rsidP="00B10424">
      <w:pPr>
        <w:ind w:firstLine="708"/>
        <w:jc w:val="both"/>
      </w:pPr>
      <w:r w:rsidRPr="00012865">
        <w:t>Od 2014 r. Policja nie prezentuje informacji o czynach karalnych nieletnich.</w:t>
      </w:r>
    </w:p>
    <w:p w:rsidR="002B26AB" w:rsidRDefault="002B26AB" w:rsidP="00765174">
      <w:pPr>
        <w:rPr>
          <w:b/>
        </w:rPr>
      </w:pPr>
    </w:p>
    <w:p w:rsidR="00765174" w:rsidRPr="00012865" w:rsidRDefault="00765174" w:rsidP="00765174">
      <w:pPr>
        <w:rPr>
          <w:b/>
        </w:rPr>
      </w:pPr>
      <w:r w:rsidRPr="00012865">
        <w:rPr>
          <w:b/>
        </w:rPr>
        <w:lastRenderedPageBreak/>
        <w:t>Wskaźnik wykrywalności</w:t>
      </w:r>
      <w:r w:rsidR="00F57D14" w:rsidRPr="00012865">
        <w:rPr>
          <w:b/>
        </w:rPr>
        <w:t xml:space="preserve"> (</w:t>
      </w:r>
      <w:r w:rsidR="00B10424" w:rsidRPr="00012865">
        <w:rPr>
          <w:b/>
          <w:i/>
        </w:rPr>
        <w:t xml:space="preserve">tzw. </w:t>
      </w:r>
      <w:r w:rsidR="00F57D14" w:rsidRPr="00012865">
        <w:rPr>
          <w:b/>
          <w:i/>
        </w:rPr>
        <w:t>% wykryc</w:t>
      </w:r>
      <w:r w:rsidR="00B10424" w:rsidRPr="00012865">
        <w:rPr>
          <w:b/>
          <w:i/>
        </w:rPr>
        <w:t>i</w:t>
      </w:r>
      <w:r w:rsidR="00F57D14" w:rsidRPr="00012865">
        <w:rPr>
          <w:b/>
          <w:i/>
        </w:rPr>
        <w:t>a</w:t>
      </w:r>
      <w:r w:rsidR="00F57D14" w:rsidRPr="00012865">
        <w:rPr>
          <w:b/>
        </w:rPr>
        <w:t>)</w:t>
      </w:r>
      <w:r w:rsidRPr="00012865">
        <w:rPr>
          <w:b/>
        </w:rPr>
        <w:t xml:space="preserve"> </w:t>
      </w:r>
      <w:r w:rsidRPr="00012865">
        <w:rPr>
          <w:i/>
        </w:rPr>
        <w:t>(od 1999 r. definicja pozostała niezmieniona)</w:t>
      </w:r>
    </w:p>
    <w:p w:rsidR="00765174" w:rsidRPr="00012865" w:rsidRDefault="00765174" w:rsidP="00E320EB">
      <w:pPr>
        <w:ind w:firstLine="708"/>
        <w:jc w:val="both"/>
      </w:pPr>
      <w:r w:rsidRPr="00012865">
        <w:t>Wskaźnik wykrywalności jest to iloraz liczby przestępstw wykrytych (łącznie z wykrytymi podjęciu z umorzenia) przez ogólną liczbę przestępstw stwierdzonych powiększoną o liczbę przestępstw wykrytych po podjęciu postępowań umorzonych w roku ubiegłym lub latach poprzednich - wyrażony w procentach.</w:t>
      </w:r>
    </w:p>
    <w:p w:rsidR="00B10424" w:rsidRPr="00012865" w:rsidRDefault="00E05ADA" w:rsidP="002B26AB">
      <w:pPr>
        <w:ind w:firstLine="708"/>
        <w:jc w:val="both"/>
      </w:pPr>
      <w:r w:rsidRPr="00012865">
        <w:t>Od 2014 r. Policja nie prezentuje informacji o czynach karalnych nieletnich</w:t>
      </w:r>
      <w:r w:rsidR="00FC3D07" w:rsidRPr="00012865">
        <w:t xml:space="preserve"> i wskaźniku </w:t>
      </w:r>
      <w:r w:rsidR="00546312" w:rsidRPr="00012865">
        <w:br/>
      </w:r>
      <w:r w:rsidR="00FC3D07" w:rsidRPr="00012865">
        <w:t>ich wykrycia</w:t>
      </w:r>
      <w:r w:rsidRPr="00012865">
        <w:t>.</w:t>
      </w:r>
    </w:p>
    <w:p w:rsidR="00B10424" w:rsidRPr="00012865" w:rsidRDefault="00B10424" w:rsidP="00765174">
      <w:pPr>
        <w:jc w:val="both"/>
        <w:rPr>
          <w:b/>
        </w:rPr>
      </w:pPr>
      <w:r w:rsidRPr="00012865">
        <w:rPr>
          <w:b/>
        </w:rPr>
        <w:t>Zmiany w zasięgu działania Komendy Stołecznej Policji w Warszawie</w:t>
      </w:r>
    </w:p>
    <w:p w:rsidR="00B10424" w:rsidRPr="00012865" w:rsidRDefault="00F02FCC" w:rsidP="00F02FCC">
      <w:pPr>
        <w:ind w:firstLine="708"/>
        <w:jc w:val="both"/>
      </w:pPr>
      <w:r w:rsidRPr="00012865">
        <w:t>KSP Warszawa obejmowała swoim działaniem teren następujących powiatów:</w:t>
      </w:r>
    </w:p>
    <w:p w:rsidR="00F02FCC" w:rsidRPr="00012865" w:rsidRDefault="00F02FCC" w:rsidP="00F02FCC">
      <w:pPr>
        <w:jc w:val="both"/>
      </w:pPr>
      <w:r w:rsidRPr="00012865">
        <w:t xml:space="preserve">- 1999 r. </w:t>
      </w:r>
      <w:r w:rsidRPr="00012865">
        <w:tab/>
        <w:t>- powiat Warszawa</w:t>
      </w:r>
      <w:r w:rsidR="00570E1A" w:rsidRPr="00012865">
        <w:t>;</w:t>
      </w:r>
    </w:p>
    <w:p w:rsidR="00F02FCC" w:rsidRPr="00012865" w:rsidRDefault="00F02FCC" w:rsidP="00C11568">
      <w:pPr>
        <w:ind w:left="1410" w:hanging="1410"/>
        <w:jc w:val="both"/>
      </w:pPr>
      <w:r w:rsidRPr="00012865">
        <w:t>- 2000 – 2001</w:t>
      </w:r>
      <w:r w:rsidRPr="00012865">
        <w:tab/>
        <w:t>- powiat</w:t>
      </w:r>
      <w:r w:rsidR="00C11568" w:rsidRPr="00012865">
        <w:t>y:</w:t>
      </w:r>
      <w:r w:rsidRPr="00012865">
        <w:t xml:space="preserve"> </w:t>
      </w:r>
      <w:r w:rsidR="00C11568" w:rsidRPr="00012865">
        <w:t>grodziski, legionowski, otwocki, piaseczyński, pruszkowski, Warszawa</w:t>
      </w:r>
      <w:r w:rsidR="00570E1A" w:rsidRPr="00012865">
        <w:t xml:space="preserve"> </w:t>
      </w:r>
      <w:r w:rsidR="00C11568" w:rsidRPr="00012865">
        <w:t xml:space="preserve">                                                                                </w:t>
      </w:r>
      <w:r w:rsidR="00570E1A" w:rsidRPr="00012865">
        <w:t xml:space="preserve"> i </w:t>
      </w:r>
      <w:r w:rsidR="00C11568" w:rsidRPr="00012865">
        <w:t>warszawski zachodni</w:t>
      </w:r>
      <w:r w:rsidR="00570E1A" w:rsidRPr="00012865">
        <w:t>;</w:t>
      </w:r>
    </w:p>
    <w:p w:rsidR="00C11568" w:rsidRPr="00012865" w:rsidRDefault="00C11568" w:rsidP="00C11568">
      <w:pPr>
        <w:ind w:left="1410" w:hanging="1410"/>
        <w:jc w:val="both"/>
      </w:pPr>
      <w:r w:rsidRPr="00012865">
        <w:t>- od 2002</w:t>
      </w:r>
      <w:r w:rsidRPr="00012865">
        <w:tab/>
        <w:t>- powiaty: grodziski, miński, nowodworski, legionowski, otwocki, piaseczyński, pruszkowski, Warszawa i warszawski zachodni</w:t>
      </w:r>
      <w:r w:rsidR="00570E1A" w:rsidRPr="00012865">
        <w:t>.</w:t>
      </w:r>
    </w:p>
    <w:sectPr w:rsidR="00C11568" w:rsidRPr="00012865" w:rsidSect="0055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552"/>
    <w:rsid w:val="000008F9"/>
    <w:rsid w:val="00005588"/>
    <w:rsid w:val="00012865"/>
    <w:rsid w:val="00127552"/>
    <w:rsid w:val="0018467A"/>
    <w:rsid w:val="002901B3"/>
    <w:rsid w:val="002B26AB"/>
    <w:rsid w:val="003C02B9"/>
    <w:rsid w:val="003D3A21"/>
    <w:rsid w:val="004428B0"/>
    <w:rsid w:val="00526BA8"/>
    <w:rsid w:val="00546312"/>
    <w:rsid w:val="00557110"/>
    <w:rsid w:val="00570E1A"/>
    <w:rsid w:val="006609A7"/>
    <w:rsid w:val="00735844"/>
    <w:rsid w:val="007645E0"/>
    <w:rsid w:val="00765174"/>
    <w:rsid w:val="008248F1"/>
    <w:rsid w:val="008666E0"/>
    <w:rsid w:val="008767BD"/>
    <w:rsid w:val="008C0E3C"/>
    <w:rsid w:val="00986959"/>
    <w:rsid w:val="00A178D5"/>
    <w:rsid w:val="00A24C12"/>
    <w:rsid w:val="00A400E9"/>
    <w:rsid w:val="00B10424"/>
    <w:rsid w:val="00C11568"/>
    <w:rsid w:val="00C331D1"/>
    <w:rsid w:val="00D1465E"/>
    <w:rsid w:val="00D204D1"/>
    <w:rsid w:val="00D534D6"/>
    <w:rsid w:val="00E05ADA"/>
    <w:rsid w:val="00E320EB"/>
    <w:rsid w:val="00EF4196"/>
    <w:rsid w:val="00EF63A3"/>
    <w:rsid w:val="00F0098D"/>
    <w:rsid w:val="00F02FCC"/>
    <w:rsid w:val="00F57D14"/>
    <w:rsid w:val="00F71FE1"/>
    <w:rsid w:val="00F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F4196"/>
  </w:style>
  <w:style w:type="character" w:styleId="Uwydatnienie">
    <w:name w:val="Emphasis"/>
    <w:uiPriority w:val="20"/>
    <w:qFormat/>
    <w:rsid w:val="00EF4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 WARSZAWA</dc:creator>
  <cp:lastModifiedBy>Marcin G.</cp:lastModifiedBy>
  <cp:revision>3</cp:revision>
  <dcterms:created xsi:type="dcterms:W3CDTF">2017-03-03T12:25:00Z</dcterms:created>
  <dcterms:modified xsi:type="dcterms:W3CDTF">2017-03-07T13:27:00Z</dcterms:modified>
</cp:coreProperties>
</file>